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F065EB">
              <w:rPr>
                <w:noProof/>
              </w:rPr>
              <w:t>Dealing with Angry and Potentially Dangerous Library Users</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F065EB" w:rsidRDefault="00742AD9" w:rsidP="00F065EB">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F065EB">
              <w:rPr>
                <w:noProof/>
              </w:rPr>
              <w:t>Good manners and a friendly demeanor can handle most library customer issues. But what if being courteous is not enough? Do you, your staff, and your co-workers know what to do if someone is emotionally bullying or physically threatening to staff or other customers? Belligerent? Acting out because of drugs, alcohol, or other cognitive issues? Refusing to leave? Caught stealing or damaging property?</w:t>
            </w:r>
          </w:p>
          <w:p w:rsidR="00F065EB" w:rsidRDefault="00F065EB" w:rsidP="00F065EB">
            <w:pPr>
              <w:pStyle w:val="Fill-In-Indented"/>
              <w:rPr>
                <w:noProof/>
              </w:rPr>
            </w:pPr>
            <w:r>
              <w:rPr>
                <w:noProof/>
              </w:rPr>
              <w:t>The awareness, attitude, and actions of library employees are the first defenses against customers who are AOA (Angry on Arrival).</w:t>
            </w:r>
          </w:p>
          <w:p w:rsidR="002F2D6E" w:rsidRPr="002F2D6E" w:rsidRDefault="00F065EB" w:rsidP="00F065EB">
            <w:pPr>
              <w:pStyle w:val="Fill-In-Indented"/>
              <w:rPr>
                <w:rStyle w:val="Fill-inCharacterStyle"/>
              </w:rPr>
            </w:pPr>
            <w:r>
              <w:rPr>
                <w:noProof/>
              </w:rPr>
              <w:t>Make safe practices a priority for front line staff. Planning, consistent enforcement of policies, training, support from supervisors and managers, and applied technology can work together to protect employees, custom</w:t>
            </w:r>
            <w:r w:rsidR="00742AD9">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64726A">
              <w:rPr>
                <w:noProof/>
              </w:rPr>
              <w:t>4</w:t>
            </w:r>
            <w:r w:rsidR="00990464">
              <w:rPr>
                <w:noProof/>
              </w:rPr>
              <w:t>/</w:t>
            </w:r>
            <w:r w:rsidR="00F065EB">
              <w:rPr>
                <w:noProof/>
              </w:rPr>
              <w:t>8</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64726A">
              <w:rPr>
                <w:noProof/>
              </w:rPr>
              <w:t>4</w:t>
            </w:r>
            <w:r w:rsidR="00990464">
              <w:rPr>
                <w:noProof/>
              </w:rPr>
              <w:t>/</w:t>
            </w:r>
            <w:r w:rsidR="00F065EB">
              <w:rPr>
                <w:noProof/>
              </w:rPr>
              <w:t>8</w:t>
            </w:r>
            <w:bookmarkStart w:id="2" w:name="_GoBack"/>
            <w:bookmarkEnd w:id="2"/>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8A798C">
              <w:rPr>
                <w:rStyle w:val="Fill-inCharacterStyle"/>
                <w:noProof/>
              </w:rPr>
              <w:t>WVLS,</w:t>
            </w:r>
            <w:r w:rsidR="0064726A">
              <w:rPr>
                <w:rStyle w:val="Fill-inCharacterStyle"/>
                <w:noProof/>
              </w:rPr>
              <w:t xml:space="preserve"> NWLS, SWLS</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3"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F065EB">
              <w:rPr>
                <w:rFonts w:ascii="Zapf Dingbats" w:hAnsi="Zapf Dingbats"/>
                <w:sz w:val="24"/>
              </w:rPr>
            </w:r>
            <w:r w:rsidR="00F065EB">
              <w:rPr>
                <w:rFonts w:ascii="Zapf Dingbats" w:hAnsi="Zapf Dingbats"/>
                <w:sz w:val="24"/>
              </w:rPr>
              <w:fldChar w:fldCharType="separate"/>
            </w:r>
            <w:r>
              <w:rPr>
                <w:rFonts w:ascii="Zapf Dingbats" w:hAnsi="Zapf Dingbats"/>
                <w:sz w:val="24"/>
              </w:rPr>
              <w:fldChar w:fldCharType="end"/>
            </w:r>
            <w:bookmarkEnd w:id="3"/>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F065EB">
              <w:rPr>
                <w:rFonts w:ascii="Zapf Dingbats" w:hAnsi="Zapf Dingbats"/>
                <w:sz w:val="24"/>
              </w:rPr>
            </w:r>
            <w:r w:rsidR="00F065EB">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F065EB">
              <w:rPr>
                <w:rFonts w:ascii="Zapf Dingbats" w:hAnsi="Zapf Dingbats"/>
                <w:sz w:val="24"/>
              </w:rPr>
            </w:r>
            <w:r w:rsidR="00F065EB">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2F1" w:rsidRDefault="004F22F1" w:rsidP="00D84166">
      <w:r>
        <w:separator/>
      </w:r>
    </w:p>
  </w:endnote>
  <w:endnote w:type="continuationSeparator" w:id="0">
    <w:p w:rsidR="004F22F1" w:rsidRDefault="004F22F1"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2F1" w:rsidRDefault="004F22F1" w:rsidP="00D84166">
      <w:r>
        <w:separator/>
      </w:r>
    </w:p>
  </w:footnote>
  <w:footnote w:type="continuationSeparator" w:id="0">
    <w:p w:rsidR="004F22F1" w:rsidRDefault="004F22F1"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D335B"/>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D065B"/>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A6FB2"/>
    <w:rsid w:val="004B4B67"/>
    <w:rsid w:val="004D6E90"/>
    <w:rsid w:val="004E6D21"/>
    <w:rsid w:val="004F22F1"/>
    <w:rsid w:val="004F42F1"/>
    <w:rsid w:val="005040E1"/>
    <w:rsid w:val="00505498"/>
    <w:rsid w:val="005134B9"/>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4726A"/>
    <w:rsid w:val="00652B10"/>
    <w:rsid w:val="00662AAF"/>
    <w:rsid w:val="006B2A62"/>
    <w:rsid w:val="006B46FF"/>
    <w:rsid w:val="006C2653"/>
    <w:rsid w:val="006C31C0"/>
    <w:rsid w:val="006D5433"/>
    <w:rsid w:val="006E1BC9"/>
    <w:rsid w:val="006E3FFB"/>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77EF5"/>
    <w:rsid w:val="008A798C"/>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0546C"/>
    <w:rsid w:val="00C11265"/>
    <w:rsid w:val="00C20422"/>
    <w:rsid w:val="00C2051F"/>
    <w:rsid w:val="00C421C9"/>
    <w:rsid w:val="00C44602"/>
    <w:rsid w:val="00C81C12"/>
    <w:rsid w:val="00C822E6"/>
    <w:rsid w:val="00C84FD3"/>
    <w:rsid w:val="00C977AE"/>
    <w:rsid w:val="00CB3E77"/>
    <w:rsid w:val="00CC63A0"/>
    <w:rsid w:val="00CD517B"/>
    <w:rsid w:val="00D032F8"/>
    <w:rsid w:val="00D038E6"/>
    <w:rsid w:val="00D44620"/>
    <w:rsid w:val="00D44FEC"/>
    <w:rsid w:val="00D473BA"/>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65EB"/>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481D7"/>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2020-04-07T21:17:00Z</dcterms:created>
  <dcterms:modified xsi:type="dcterms:W3CDTF">2020-04-07T21:17:00Z</dcterms:modified>
  <cp:category>Forms</cp:category>
</cp:coreProperties>
</file>